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80"/>
        </w:tabs>
        <w:spacing w:line="560" w:lineRule="exact"/>
        <w:jc w:val="center"/>
        <w:rPr>
          <w:rFonts w:ascii="仿宋_GB2312" w:hAnsi="仿宋_GB2312" w:eastAsia="仿宋_GB2312" w:cs="仿宋_GB2312"/>
          <w:sz w:val="32"/>
          <w:szCs w:val="32"/>
        </w:rPr>
      </w:pPr>
    </w:p>
    <w:p>
      <w:pPr>
        <w:tabs>
          <w:tab w:val="left" w:pos="3780"/>
        </w:tabs>
        <w:spacing w:line="560" w:lineRule="exact"/>
        <w:jc w:val="center"/>
        <w:rPr>
          <w:rFonts w:ascii="仿宋_GB2312" w:hAnsi="仿宋_GB2312" w:eastAsia="仿宋_GB2312" w:cs="仿宋_GB2312"/>
          <w:sz w:val="32"/>
          <w:szCs w:val="32"/>
        </w:rPr>
      </w:pPr>
    </w:p>
    <w:p>
      <w:pPr>
        <w:tabs>
          <w:tab w:val="left" w:pos="3780"/>
        </w:tabs>
        <w:spacing w:beforeLines="50" w:line="560" w:lineRule="exact"/>
        <w:jc w:val="center"/>
        <w:rPr>
          <w:rFonts w:hint="eastAsia" w:ascii="仿宋_GB2312" w:hAnsi="仿宋_GB2312" w:eastAsia="仿宋_GB2312" w:cs="仿宋_GB2312"/>
          <w:b/>
          <w:sz w:val="30"/>
          <w:szCs w:val="30"/>
        </w:rPr>
      </w:pPr>
      <w:r>
        <w:rPr>
          <w:rFonts w:hint="eastAsia" w:ascii="仿宋_GB2312" w:hAnsi="仿宋_GB2312" w:eastAsia="仿宋_GB2312" w:cs="仿宋_GB2312"/>
          <w:sz w:val="32"/>
          <w:szCs w:val="32"/>
        </w:rPr>
        <w:t>教务处〔2020〕37号</w:t>
      </w:r>
    </w:p>
    <w:p>
      <w:pPr>
        <w:spacing w:beforeLines="250" w:afterLines="100" w:line="700" w:lineRule="exact"/>
        <w:jc w:val="center"/>
        <w:rPr>
          <w:rFonts w:hint="eastAsia" w:ascii="方正小标宋简体" w:hAnsi="方正小标宋简体" w:eastAsia="方正小标宋简体" w:cs="方正小标宋简体"/>
          <w:color w:val="1B1B1B"/>
          <w:sz w:val="44"/>
          <w:szCs w:val="44"/>
          <w:shd w:val="clear" w:color="auto" w:fill="FFFFFF"/>
        </w:rPr>
      </w:pPr>
      <w:r>
        <w:rPr>
          <w:rFonts w:hint="eastAsia" w:ascii="方正小标宋简体" w:hAnsi="方正小标宋简体" w:eastAsia="方正小标宋简体" w:cs="方正小标宋简体"/>
          <w:color w:val="1B1B1B"/>
          <w:sz w:val="44"/>
          <w:szCs w:val="44"/>
          <w:shd w:val="clear" w:color="auto" w:fill="FFFFFF"/>
        </w:rPr>
        <w:t>关于</w:t>
      </w:r>
      <w:r>
        <w:rPr>
          <w:rFonts w:hint="eastAsia" w:ascii="方正小标宋简体" w:hAnsi="方正小标宋简体" w:eastAsia="方正小标宋简体" w:cs="方正小标宋简体"/>
          <w:color w:val="1B1B1B"/>
          <w:sz w:val="44"/>
          <w:szCs w:val="44"/>
          <w:shd w:val="clear" w:color="auto" w:fill="FFFFFF"/>
          <w:lang w:eastAsia="zh-CN"/>
        </w:rPr>
        <w:t>印发</w:t>
      </w:r>
      <w:r>
        <w:rPr>
          <w:rFonts w:hint="eastAsia" w:ascii="方正小标宋简体" w:hAnsi="方正小标宋简体" w:eastAsia="方正小标宋简体" w:cs="方正小标宋简体"/>
          <w:bCs/>
          <w:sz w:val="44"/>
          <w:szCs w:val="44"/>
        </w:rPr>
        <w:t>福州工商学院人才培养方案制订、评估、监控与管理办法</w:t>
      </w:r>
      <w:r>
        <w:rPr>
          <w:rFonts w:hint="eastAsia" w:ascii="方正小标宋简体" w:hAnsi="方正小标宋简体" w:eastAsia="方正小标宋简体" w:cs="方正小标宋简体"/>
          <w:color w:val="1B1B1B"/>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二级学院、相关单位：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人才培养方案是学校教学工作的纲领性文件，是组织开展教学活动、安排教学任务的重要依据。</w:t>
      </w:r>
      <w:r>
        <w:rPr>
          <w:rFonts w:hint="eastAsia" w:ascii="仿宋_GB2312" w:hAnsi="仿宋_GB2312" w:eastAsia="仿宋_GB2312" w:cs="仿宋_GB2312"/>
          <w:bCs/>
          <w:sz w:val="32"/>
          <w:szCs w:val="32"/>
          <w:lang w:eastAsia="zh-CN"/>
        </w:rPr>
        <w:t>现将《福州工商学院人才培养方案制订、评估、监控与管理办法》印发给你们，请遵照执行。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p>
    <w:p>
      <w:pPr>
        <w:tabs>
          <w:tab w:val="left" w:pos="7350"/>
          <w:tab w:val="left" w:pos="8930"/>
        </w:tabs>
        <w:spacing w:line="560" w:lineRule="exact"/>
        <w:ind w:right="1485" w:rightChars="70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福州工商学院教务处</w:t>
      </w:r>
    </w:p>
    <w:p>
      <w:pPr>
        <w:spacing w:line="560" w:lineRule="exact"/>
        <w:ind w:right="840" w:rightChars="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2020年6月17日</w:t>
      </w:r>
    </w:p>
    <w:p>
      <w:pPr>
        <w:spacing w:line="560" w:lineRule="exact"/>
        <w:jc w:val="right"/>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p>
    <w:p>
      <w:pP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br w:type="page"/>
      </w:r>
    </w:p>
    <w:p>
      <w:pPr>
        <w:spacing w:beforeLines="250" w:afterLines="100" w:line="700" w:lineRule="exact"/>
        <w:jc w:val="center"/>
        <w:rPr>
          <w:rFonts w:hint="eastAsia" w:ascii="方正小标宋简体" w:hAnsi="方正小标宋简体" w:eastAsia="方正小标宋简体" w:cs="方正小标宋简体"/>
          <w:color w:val="1B1B1B"/>
          <w:sz w:val="44"/>
          <w:szCs w:val="44"/>
          <w:shd w:val="clear" w:color="auto" w:fill="FFFFFF"/>
        </w:rPr>
      </w:pPr>
      <w:r>
        <w:rPr>
          <w:rFonts w:hint="eastAsia" w:ascii="方正小标宋简体" w:hAnsi="方正小标宋简体" w:eastAsia="方正小标宋简体" w:cs="方正小标宋简体"/>
          <w:bCs/>
          <w:sz w:val="44"/>
          <w:szCs w:val="44"/>
        </w:rPr>
        <w:t>福州工商学院人才培养方案制订、评估、监控与管理办法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第一条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人才培养方案是学校教学工作的纲领性文件，是学校组织教学和培养人才的基本依据，是实现人才培养目标的首要环节，是组织开展教学活动、安排教学任务的重要依据。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bCs/>
          <w:sz w:val="32"/>
          <w:szCs w:val="32"/>
        </w:rPr>
      </w:pPr>
      <w:r>
        <w:rPr>
          <w:rFonts w:hint="eastAsia" w:ascii="黑体" w:hAnsi="黑体" w:eastAsia="黑体"/>
          <w:bCs/>
          <w:sz w:val="32"/>
          <w:szCs w:val="32"/>
        </w:rPr>
        <w:t>第二条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培养方案对人才培养的质量具有全局性影响，是提高教学质量的重要前提条件，必须根据教育部和省教育厅的相关文件精神，在广泛调研和论证的基础上制订。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第三条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人才培养方案既要符合教育教学规律，保持一定的稳定性，又要不断根据社会、经济和科学技术的发展，适时地进行调整和修订。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第四条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人才培养方案是学校教学工作的规范性文件，一经确定必须认真组织实施。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bCs/>
          <w:sz w:val="32"/>
          <w:szCs w:val="32"/>
        </w:rPr>
        <w:t>第二章 人才培养方案的制订与实施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第五条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的制订应以教育部教高[2015]16号文件精神为依据，以有效提高人才培养与教师教学水平、保障教学质量为目的，全过程跟踪人才培养与教学活动，形成动态监控与定期评价并举的人才培养与教学质量监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第六条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的制定应注重推行学习、见习、实验、实训、实习制度落地；注重改革学生考核模式，将理论知识考核与生产实践技能考核相结合，强化专业技术技能标准，推行书证融通挂钩学分的实施；注重将学生“三创”、素质拓展、在校期间获得学科竞赛奖励、发表论文、创业实施计划、社会调查和听学术报告等全盘纳入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第七条</w:t>
      </w:r>
      <w:r>
        <w:rPr>
          <w:rFonts w:hint="eastAsia" w:ascii="仿宋" w:hAnsi="仿宋" w:eastAsia="仿宋"/>
          <w:bCs/>
          <w:sz w:val="32"/>
          <w:szCs w:val="32"/>
        </w:rPr>
        <w:t xml:space="preserve"> 人</w:t>
      </w:r>
      <w:r>
        <w:rPr>
          <w:rFonts w:hint="eastAsia" w:ascii="仿宋_GB2312" w:hAnsi="仿宋_GB2312" w:eastAsia="仿宋_GB2312" w:cs="仿宋_GB2312"/>
          <w:bCs/>
          <w:sz w:val="32"/>
          <w:szCs w:val="32"/>
        </w:rPr>
        <w:t>才培养方案制订前，各二级学院需认真组织调研，深入企业了解相关行业和地区经济发展的状况，掌握与专业相关的生产技术现状及专业人才需求情况，并吸收业界、企事业单位参与人才培养方案的制定。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第八条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各二级学院拟定专业人才培养方案后，应在分管校长的领导下，由教务处组织相关专家进行评估审议；专家组对人才培养方案的评审意见由教务处统一整合反馈给相应学院，各二级学院根据评审意见修改后再次上报，经过几轮论证、修改，最终定稿。人才培养方案定稿后须报分管校领导批准后方可执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第九条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经学校批准同意执行的培养方案中的各个教育教学环节由各二级学院负责组织实施，任何单位和个人不得擅自调整或拒绝执行培养方案规定的教学任务。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bCs/>
          <w:sz w:val="32"/>
          <w:szCs w:val="32"/>
        </w:rPr>
        <w:t>第三章 人才培养方案的监控管理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第十条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教务处需明确各二级学院的管理职责，健全教学计划管理、教学组织管理、教学运行各环节的管理，形成学校、二级学院、教研室三级监控实施机制，对培养方案的执行情况进行监督，并实时开展专项评估活动。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第十一条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人才培养方案的监控还应包括对毕业生就业情况的实时跟踪，实现校外评价与校内评价互通，及时整改确保人才培养质量标准。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第十二条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人才培养方案是组织教学的依据，经过规定程序批准执行后，应保持相对稳定，整体结构在至少一个培养周期（即一届学生从入学到毕业）内原则上不宜变更，确因特殊原因需要进行局部调整或修改时，必须按照以下要求和程序进行办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1.在人才培养方案执行过程中，凡更改课程名称、增减授课学时，更改课程的开设时间，增开、停开课程以及变更课程性质（课程的必修和选修）而导致课程结构的变动等情况，均属调整和修改人才培养方案。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2.调整和修改人才培养方案应在学校人才培养方案制定原则意见的框架范围内进行的局部修正，不涉及人才培养方案指导思想、培养目标与培养规格、课程体系基本架构等方面的调整。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人才培养方案的修订要以保证人才培养质量为出发点，保证正常教学秩序为基本条件，不降低对专业人才培养和课程教学的要求。在考虑教学计划的先进性、科学性和规范性的同时，还要考虑调整后可能出现的各种问题。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4.人才培养方案的修订或调整原则上须在开课前一学期提出，不得对已执行或正在执行的培养方案进行调整或修改。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人才培养方案的修订或调整应由所在二级学院负责人以书面报告的形式提出，报告中需说明调整的原因、目的和意义，以及调整的初步方案和调整后续问题的解决措施，报教务处审核同意；调整幅度超过学分5%的还需经分管校长批准后予以执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6.经批准后的人才培养方案修订报告分别由所在学院、教务处存档备案。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bCs/>
          <w:sz w:val="32"/>
          <w:szCs w:val="32"/>
        </w:rPr>
        <w:t>第四章 人才培养方案评估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bCs/>
          <w:sz w:val="32"/>
          <w:szCs w:val="32"/>
        </w:rPr>
      </w:pPr>
      <w:r>
        <w:rPr>
          <w:rFonts w:hint="eastAsia" w:ascii="黑体" w:hAnsi="黑体" w:eastAsia="黑体"/>
          <w:bCs/>
          <w:sz w:val="32"/>
          <w:szCs w:val="32"/>
        </w:rPr>
        <w:t>第十三条</w:t>
      </w:r>
      <w:r>
        <w:rPr>
          <w:rFonts w:hint="eastAsia" w:ascii="仿宋" w:hAnsi="仿宋" w:eastAsia="仿宋"/>
          <w:bCs/>
          <w:sz w:val="32"/>
          <w:szCs w:val="32"/>
        </w:rPr>
        <w:t xml:space="preserve"> 人才培养方案评估项目：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1.培养方案中的专业定位是否准确，总学分、模块学分是否符合国标规定范围，是否同学校的培养方案文件要求一致。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2.培养方案中专业培养目标是否明确，是否有符合社会人才需求等方面的阐述，专业口径是否符合应用型人才需求。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3.培养方案是否对接国际公认的高等教育质量认证体系和国家本科专业质量标准。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4.培养方案的基本框架是否合理，排版是否规范；制定过程是否按照学校文件、社会调查、学院讨论、企业参与、学校批准进行，且全过程较为规范。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5.培养方案是否体现专业培养目标要求，是否有特色等方面阐述，核心课程设置的门数、学分是否符合国家标准。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6.课程模块，课程设置、环节体系优化，专业方向设置能否体现社会需求，是否有业界、企业参与制定。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7.课程体系是否符合时代要求、体现教育思想、观念更新，课程体系设计能否体现培养目标，专业主要课程是否得到保证，课程、学时设置是否科学合理，是否符合教育规律。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8.能力要求与培养措施，是否有学生自学课程。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9.是否体现素质要求、思政要求与培养措施。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10.是否体现创新意识、能力要求与培养措施，是否有因人设课痕迹。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11.实践教学安排比例是否恰当，是否在国标底线之上。实践环节设计能否体现培养目标，是否有利于加强学生动手能力、创新能力和实践能力的培养。</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12.各模块学分是否合理（含课程学分）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指导性教学计划体系是否完整，课程安排次序是否科学合理，周学时是否适中。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2"/>
          <w:szCs w:val="32"/>
        </w:rPr>
      </w:pPr>
      <w:r>
        <w:rPr>
          <w:rFonts w:hint="eastAsia" w:ascii="黑体" w:hAnsi="黑体" w:eastAsia="黑体"/>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Cs/>
          <w:sz w:val="32"/>
          <w:szCs w:val="32"/>
        </w:rPr>
      </w:pPr>
      <w:r>
        <w:rPr>
          <w:rFonts w:hint="eastAsia" w:ascii="黑体" w:hAnsi="黑体" w:eastAsia="黑体"/>
          <w:bCs/>
          <w:sz w:val="32"/>
          <w:szCs w:val="32"/>
        </w:rPr>
        <w:t>第十四条</w:t>
      </w:r>
      <w:r>
        <w:rPr>
          <w:rFonts w:hint="eastAsia" w:ascii="仿宋" w:hAnsi="仿宋" w:eastAsia="仿宋"/>
          <w:bCs/>
          <w:sz w:val="32"/>
          <w:szCs w:val="32"/>
        </w:rPr>
        <w:t xml:space="preserve"> </w:t>
      </w:r>
      <w:r>
        <w:rPr>
          <w:rFonts w:hint="eastAsia" w:ascii="仿宋_GB2312" w:hAnsi="仿宋_GB2312" w:eastAsia="仿宋_GB2312" w:cs="仿宋_GB2312"/>
          <w:bCs/>
          <w:sz w:val="32"/>
          <w:szCs w:val="32"/>
        </w:rPr>
        <w:t>本办法自发布之日起实施，解释权归教务处。</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29"/>
        <w:textAlignment w:val="auto"/>
        <w:rPr>
          <w:rFonts w:ascii="仿宋" w:hAnsi="仿宋" w:eastAsia="仿宋"/>
          <w:bCs/>
          <w:sz w:val="32"/>
          <w:szCs w:val="32"/>
        </w:rPr>
      </w:pPr>
      <w:r>
        <w:rPr>
          <w:rFonts w:hint="eastAsia" w:ascii="仿宋_GB2312" w:hAnsi="仿宋_GB2312" w:eastAsia="仿宋_GB2312" w:cs="仿宋_GB2312"/>
          <w:bCs/>
          <w:sz w:val="32"/>
          <w:szCs w:val="32"/>
        </w:rPr>
        <w:t>附件：《福州工商学院人才培养方案专家评审意见表》</w:t>
      </w:r>
    </w:p>
    <w:p>
      <w:pPr>
        <w:tabs>
          <w:tab w:val="left" w:pos="8930"/>
        </w:tabs>
        <w:wordWrap w:val="0"/>
        <w:spacing w:line="560" w:lineRule="exact"/>
        <w:ind w:right="-1"/>
        <w:jc w:val="right"/>
        <w:rPr>
          <w:rFonts w:ascii="仿宋_GB2312" w:eastAsia="仿宋_GB2312" w:hAnsiTheme="minorEastAsia"/>
          <w:bCs/>
          <w:sz w:val="32"/>
          <w:szCs w:val="32"/>
        </w:rPr>
      </w:pPr>
    </w:p>
    <w:p>
      <w:pPr>
        <w:tabs>
          <w:tab w:val="left" w:pos="8930"/>
        </w:tabs>
        <w:wordWrap/>
        <w:spacing w:line="560" w:lineRule="exact"/>
        <w:ind w:right="-1"/>
        <w:jc w:val="right"/>
        <w:rPr>
          <w:rFonts w:ascii="仿宋_GB2312" w:eastAsia="仿宋_GB2312" w:hAnsiTheme="minorEastAsia"/>
          <w:bCs/>
          <w:sz w:val="32"/>
          <w:szCs w:val="32"/>
        </w:rPr>
      </w:pPr>
    </w:p>
    <w:p>
      <w:pPr>
        <w:tabs>
          <w:tab w:val="center" w:pos="4153"/>
          <w:tab w:val="right" w:pos="8306"/>
        </w:tabs>
        <w:spacing w:line="560" w:lineRule="exact"/>
        <w:ind w:firstLine="640" w:firstLineChars="200"/>
        <w:jc w:val="left"/>
        <w:rPr>
          <w:rFonts w:ascii="仿宋_GB2312" w:hAnsi="仿宋_GB2312" w:eastAsia="仿宋_GB2312" w:cs="仿宋_GB2312"/>
          <w:sz w:val="32"/>
          <w:szCs w:val="32"/>
        </w:rPr>
      </w:pPr>
    </w:p>
    <w:p>
      <w:pPr>
        <w:tabs>
          <w:tab w:val="center" w:pos="4153"/>
          <w:tab w:val="right" w:pos="8306"/>
        </w:tabs>
        <w:spacing w:line="560" w:lineRule="exact"/>
        <w:ind w:firstLine="640" w:firstLineChars="200"/>
        <w:jc w:val="left"/>
        <w:rPr>
          <w:rFonts w:ascii="仿宋_GB2312" w:hAnsi="仿宋_GB2312" w:eastAsia="仿宋_GB2312" w:cs="仿宋_GB2312"/>
          <w:sz w:val="32"/>
          <w:szCs w:val="32"/>
        </w:rPr>
      </w:pPr>
    </w:p>
    <w:p>
      <w:pPr>
        <w:tabs>
          <w:tab w:val="center" w:pos="4153"/>
          <w:tab w:val="right" w:pos="8306"/>
        </w:tabs>
        <w:spacing w:line="560" w:lineRule="exact"/>
        <w:ind w:firstLine="640" w:firstLineChars="200"/>
        <w:jc w:val="left"/>
        <w:rPr>
          <w:rFonts w:ascii="仿宋_GB2312" w:hAnsi="仿宋_GB2312" w:eastAsia="仿宋_GB2312" w:cs="仿宋_GB2312"/>
          <w:sz w:val="32"/>
          <w:szCs w:val="32"/>
        </w:rPr>
      </w:pPr>
    </w:p>
    <w:p>
      <w:pPr>
        <w:pStyle w:val="11"/>
        <w:spacing w:beforeLines="50" w:afterLines="50"/>
        <w:rPr>
          <w:rFonts w:hint="eastAsia" w:ascii="方正小标宋简体" w:eastAsia="方正小标宋简体"/>
          <w:sz w:val="36"/>
          <w:szCs w:val="36"/>
          <w:lang w:eastAsia="zh-CN"/>
        </w:rPr>
      </w:pPr>
    </w:p>
    <w:p>
      <w:pPr>
        <w:pStyle w:val="11"/>
        <w:spacing w:beforeLines="50" w:afterLines="50"/>
        <w:rPr>
          <w:rFonts w:hint="eastAsia" w:ascii="方正小标宋简体" w:eastAsia="方正小标宋简体"/>
          <w:sz w:val="36"/>
          <w:szCs w:val="36"/>
          <w:lang w:eastAsia="zh-CN"/>
        </w:rPr>
      </w:pPr>
    </w:p>
    <w:p>
      <w:pPr>
        <w:pStyle w:val="11"/>
        <w:spacing w:beforeLines="50" w:afterLines="50"/>
        <w:rPr>
          <w:rFonts w:hint="eastAsia" w:ascii="方正小标宋简体" w:eastAsia="方正小标宋简体"/>
          <w:sz w:val="36"/>
          <w:szCs w:val="36"/>
          <w:lang w:eastAsia="zh-CN"/>
        </w:rPr>
      </w:pPr>
    </w:p>
    <w:p>
      <w:pPr>
        <w:pStyle w:val="11"/>
        <w:spacing w:beforeLines="50" w:afterLines="50"/>
        <w:rPr>
          <w:rFonts w:hint="eastAsia" w:ascii="方正小标宋简体" w:eastAsia="方正小标宋简体"/>
          <w:sz w:val="36"/>
          <w:szCs w:val="36"/>
          <w:lang w:eastAsia="zh-CN"/>
        </w:rPr>
      </w:pPr>
    </w:p>
    <w:p>
      <w:pPr>
        <w:pStyle w:val="11"/>
        <w:keepNext w:val="0"/>
        <w:keepLines w:val="0"/>
        <w:pageBreakBefore w:val="0"/>
        <w:widowControl w:val="0"/>
        <w:kinsoku/>
        <w:wordWrap/>
        <w:overflowPunct/>
        <w:topLinePunct w:val="0"/>
        <w:autoSpaceDE/>
        <w:autoSpaceDN/>
        <w:bidi w:val="0"/>
        <w:adjustRightInd/>
        <w:snapToGrid/>
        <w:spacing w:after="0"/>
        <w:jc w:val="left"/>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附件</w:t>
      </w:r>
    </w:p>
    <w:p>
      <w:pPr>
        <w:pStyle w:val="11"/>
        <w:keepNext w:val="0"/>
        <w:keepLines w:val="0"/>
        <w:pageBreakBefore w:val="0"/>
        <w:widowControl w:val="0"/>
        <w:kinsoku/>
        <w:wordWrap/>
        <w:overflowPunct/>
        <w:topLinePunct w:val="0"/>
        <w:autoSpaceDE/>
        <w:autoSpaceDN/>
        <w:bidi w:val="0"/>
        <w:adjustRightInd/>
        <w:snapToGrid/>
        <w:spacing w:after="0"/>
        <w:textAlignment w:val="auto"/>
        <w:rPr>
          <w:rFonts w:ascii="方正小标宋简体" w:eastAsia="方正小标宋简体"/>
          <w:sz w:val="36"/>
          <w:szCs w:val="36"/>
          <w:lang w:eastAsia="zh-CN"/>
        </w:rPr>
      </w:pPr>
      <w:r>
        <w:rPr>
          <w:rFonts w:hint="eastAsia" w:ascii="方正小标宋简体" w:eastAsia="方正小标宋简体"/>
          <w:sz w:val="36"/>
          <w:szCs w:val="36"/>
          <w:lang w:eastAsia="zh-CN"/>
        </w:rPr>
        <w:t>福州工商学院</w:t>
      </w:r>
      <w:r>
        <w:rPr>
          <w:rFonts w:hint="eastAsia" w:ascii="方正小标宋简体" w:eastAsia="方正小标宋简体"/>
          <w:sz w:val="36"/>
          <w:szCs w:val="36"/>
        </w:rPr>
        <w:t>人才培养方案专家评审意见表</w:t>
      </w:r>
    </w:p>
    <w:p>
      <w:pPr>
        <w:pStyle w:val="11"/>
        <w:spacing w:after="0"/>
        <w:jc w:val="left"/>
        <w:rPr>
          <w:b/>
          <w:sz w:val="28"/>
          <w:szCs w:val="28"/>
          <w:lang w:eastAsia="zh-CN"/>
        </w:rPr>
      </w:pPr>
      <w:r>
        <w:rPr>
          <w:rFonts w:hint="eastAsia" w:ascii="仿宋_GB2312" w:hAnsi="仿宋_GB2312" w:eastAsia="仿宋_GB2312" w:cs="仿宋_GB2312"/>
          <w:b/>
          <w:sz w:val="28"/>
          <w:szCs w:val="28"/>
          <w:lang w:eastAsia="zh-CN"/>
        </w:rPr>
        <w:t>学院：               专业：                年级：</w:t>
      </w:r>
    </w:p>
    <w:tbl>
      <w:tblPr>
        <w:tblStyle w:val="5"/>
        <w:tblW w:w="9766" w:type="dxa"/>
        <w:jc w:val="center"/>
        <w:tblLayout w:type="fixed"/>
        <w:tblCellMar>
          <w:top w:w="0" w:type="dxa"/>
          <w:left w:w="10" w:type="dxa"/>
          <w:bottom w:w="0" w:type="dxa"/>
          <w:right w:w="10" w:type="dxa"/>
        </w:tblCellMar>
      </w:tblPr>
      <w:tblGrid>
        <w:gridCol w:w="603"/>
        <w:gridCol w:w="6737"/>
        <w:gridCol w:w="1035"/>
        <w:gridCol w:w="1391"/>
      </w:tblGrid>
      <w:tr>
        <w:tblPrEx>
          <w:tblCellMar>
            <w:top w:w="0" w:type="dxa"/>
            <w:left w:w="10" w:type="dxa"/>
            <w:bottom w:w="0" w:type="dxa"/>
            <w:right w:w="10" w:type="dxa"/>
          </w:tblCellMar>
        </w:tblPrEx>
        <w:trPr>
          <w:trHeight w:val="448" w:hRule="exac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tabs>
                <w:tab w:val="left" w:pos="2020"/>
              </w:tabs>
              <w:spacing w:line="0" w:lineRule="atLeast"/>
              <w:ind w:left="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eastAsia="zh-CN"/>
              </w:rPr>
              <w:t>序号</w:t>
            </w:r>
          </w:p>
        </w:tc>
        <w:tc>
          <w:tcPr>
            <w:tcW w:w="6737" w:type="dxa"/>
            <w:tcBorders>
              <w:top w:val="single" w:color="auto" w:sz="4" w:space="0"/>
              <w:left w:val="single" w:color="auto" w:sz="4" w:space="0"/>
              <w:bottom w:val="single" w:color="auto" w:sz="4" w:space="0"/>
            </w:tcBorders>
            <w:shd w:val="clear" w:color="auto" w:fill="FFFFFF"/>
            <w:vAlign w:val="center"/>
          </w:tcPr>
          <w:p>
            <w:pPr>
              <w:pStyle w:val="13"/>
              <w:tabs>
                <w:tab w:val="left" w:pos="2020"/>
              </w:tabs>
              <w:spacing w:line="0" w:lineRule="atLeast"/>
              <w:ind w:left="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eastAsia="zh-CN"/>
              </w:rPr>
              <w:t>标准</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eastAsia="zh-CN"/>
              </w:rPr>
              <w:t>得分</w:t>
            </w:r>
          </w:p>
        </w:tc>
      </w:tr>
      <w:tr>
        <w:tblPrEx>
          <w:tblCellMar>
            <w:top w:w="0" w:type="dxa"/>
            <w:left w:w="10" w:type="dxa"/>
            <w:bottom w:w="0" w:type="dxa"/>
            <w:right w:w="10" w:type="dxa"/>
          </w:tblCellMar>
        </w:tblPrEx>
        <w:trPr>
          <w:trHeight w:val="448"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专业定位是否符合应用型人才标准</w:t>
            </w:r>
            <w:r>
              <w:rPr>
                <w:rFonts w:hint="eastAsia" w:ascii="仿宋_GB2312" w:hAnsi="仿宋_GB2312" w:eastAsia="仿宋_GB2312" w:cs="仿宋_GB2312"/>
                <w:color w:val="auto"/>
                <w:sz w:val="24"/>
                <w:szCs w:val="24"/>
                <w:lang w:eastAsia="zh-CN"/>
              </w:rPr>
              <w:t>。</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448"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专业培养目标是否明确,是否符合社会人才需求等方面需求。</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0" w:lineRule="atLeast"/>
              <w:ind w:left="960" w:hanging="960" w:hangingChars="400"/>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638"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是否对接国际公认的高等教育质量认证体系和国家本科专业质量标准</w:t>
            </w:r>
            <w:r>
              <w:rPr>
                <w:rFonts w:hint="eastAsia" w:ascii="仿宋_GB2312" w:hAnsi="仿宋_GB2312" w:eastAsia="仿宋_GB2312" w:cs="仿宋_GB2312"/>
                <w:color w:val="auto"/>
                <w:sz w:val="24"/>
                <w:szCs w:val="24"/>
                <w:lang w:eastAsia="zh-CN"/>
              </w:rPr>
              <w:t>。</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50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培养方案的基本框架是否合理</w:t>
            </w:r>
            <w:r>
              <w:rPr>
                <w:rFonts w:hint="eastAsia" w:ascii="仿宋_GB2312" w:hAnsi="仿宋_GB2312" w:eastAsia="仿宋_GB2312" w:cs="仿宋_GB2312"/>
                <w:color w:val="auto"/>
                <w:sz w:val="24"/>
                <w:szCs w:val="24"/>
                <w:lang w:eastAsia="zh-CN"/>
              </w:rPr>
              <w:t>，排版规范。</w:t>
            </w:r>
            <w:bookmarkStart w:id="0" w:name="_GoBack"/>
            <w:bookmarkEnd w:id="0"/>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8</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47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培养方案是否体现专业培养目标要求,是否有特色。</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val="en-US" w:eastAsia="zh-CN"/>
              </w:rPr>
              <w:t>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628"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SA"/>
              </w:rPr>
              <w:t>课程模块，课程设置环节体系优化,专业方向设置能否体现社会需求，是否有特色。</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93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7</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SA"/>
              </w:rPr>
              <w:t>课程体系是否符合时代要求、体现教育思想、观念更新,课程体系设计能否体现培养目标，专业主要课程得到保证，课程、学时设置科学合理，符合教育规律。</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45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8</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知识结构与能力要求与培养措施是否科学合理。</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49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9</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素质要求（含素质拓展）与培养措施是否得当。</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503"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创新意识、能力要求与培养措施是否得当。</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620"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11</w:t>
            </w:r>
          </w:p>
        </w:tc>
        <w:tc>
          <w:tcPr>
            <w:tcW w:w="6737" w:type="dxa"/>
            <w:tcBorders>
              <w:top w:val="single" w:color="auto" w:sz="4" w:space="0"/>
              <w:left w:val="single" w:color="auto" w:sz="4" w:space="0"/>
              <w:bottom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实践教学安排比例是否合理, 实践环节设计能否体现培养目标，是否有利于加强学生动手能力、创新能力和实践能力的培养。</w:t>
            </w:r>
          </w:p>
        </w:tc>
        <w:tc>
          <w:tcPr>
            <w:tcW w:w="1035" w:type="dxa"/>
            <w:tcBorders>
              <w:top w:val="single" w:color="auto" w:sz="4" w:space="0"/>
              <w:left w:val="single" w:color="auto" w:sz="4" w:space="0"/>
              <w:bottom w:val="single" w:color="auto" w:sz="4" w:space="0"/>
            </w:tcBorders>
            <w:shd w:val="clear" w:color="auto" w:fill="FFFFFF"/>
            <w:vAlign w:val="center"/>
          </w:tcPr>
          <w:p>
            <w:pPr>
              <w:pStyle w:val="13"/>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6</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728" w:hRule="atLeast"/>
          <w:jc w:val="center"/>
        </w:trPr>
        <w:tc>
          <w:tcPr>
            <w:tcW w:w="603"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12</w:t>
            </w:r>
          </w:p>
        </w:tc>
        <w:tc>
          <w:tcPr>
            <w:tcW w:w="6737"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both"/>
              <w:rPr>
                <w:rFonts w:hint="eastAsia" w:ascii="仿宋_GB2312" w:hAnsi="仿宋_GB2312" w:eastAsia="仿宋_GB2312" w:cs="仿宋_GB2312"/>
                <w:color w:val="auto"/>
                <w:sz w:val="24"/>
                <w:szCs w:val="24"/>
                <w:lang w:val="en-US" w:eastAsia="zh-CN" w:bidi="en-US"/>
              </w:rPr>
            </w:pPr>
            <w:r>
              <w:rPr>
                <w:rFonts w:hint="eastAsia" w:ascii="仿宋_GB2312" w:hAnsi="仿宋_GB2312" w:eastAsia="仿宋_GB2312" w:cs="仿宋_GB2312"/>
                <w:color w:val="auto"/>
                <w:kern w:val="2"/>
                <w:sz w:val="24"/>
                <w:szCs w:val="24"/>
                <w:lang w:val="en-US" w:eastAsia="zh-CN" w:bidi="ar-SA"/>
              </w:rPr>
              <w:t>各模块学分是否合理, 指导性教学计划体系完整，课程安排次序科学，周学时适中。</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448" w:hRule="atLeast"/>
          <w:jc w:val="center"/>
        </w:trPr>
        <w:tc>
          <w:tcPr>
            <w:tcW w:w="7340" w:type="dxa"/>
            <w:gridSpan w:val="2"/>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总分</w:t>
            </w:r>
          </w:p>
        </w:tc>
        <w:tc>
          <w:tcPr>
            <w:tcW w:w="1035" w:type="dxa"/>
            <w:tcBorders>
              <w:top w:val="single" w:color="auto" w:sz="4" w:space="0"/>
              <w:left w:val="single" w:color="auto" w:sz="4" w:space="0"/>
              <w:bottom w:val="single" w:color="auto" w:sz="4" w:space="0"/>
            </w:tcBorders>
            <w:shd w:val="clear" w:color="auto" w:fill="FFFFFF"/>
            <w:vAlign w:val="center"/>
          </w:tcPr>
          <w:p>
            <w:pPr>
              <w:pStyle w:val="13"/>
              <w:spacing w:line="0" w:lineRule="atLeast"/>
              <w:ind w:left="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39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rPr>
                <w:rFonts w:hint="eastAsia" w:ascii="仿宋_GB2312" w:hAnsi="仿宋_GB2312" w:eastAsia="仿宋_GB2312" w:cs="仿宋_GB2312"/>
                <w:color w:val="auto"/>
                <w:sz w:val="24"/>
                <w:szCs w:val="24"/>
              </w:rPr>
            </w:pPr>
          </w:p>
        </w:tc>
      </w:tr>
      <w:tr>
        <w:tblPrEx>
          <w:tblCellMar>
            <w:top w:w="0" w:type="dxa"/>
            <w:left w:w="10" w:type="dxa"/>
            <w:bottom w:w="0" w:type="dxa"/>
            <w:right w:w="10" w:type="dxa"/>
          </w:tblCellMar>
        </w:tblPrEx>
        <w:trPr>
          <w:trHeight w:val="1922" w:hRule="exact"/>
          <w:jc w:val="center"/>
        </w:trPr>
        <w:tc>
          <w:tcPr>
            <w:tcW w:w="6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综</w:t>
            </w:r>
          </w:p>
          <w:p>
            <w:pPr>
              <w:spacing w:line="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合</w:t>
            </w:r>
          </w:p>
          <w:p>
            <w:pPr>
              <w:spacing w:line="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w:t>
            </w:r>
          </w:p>
          <w:p>
            <w:pPr>
              <w:spacing w:line="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审</w:t>
            </w:r>
          </w:p>
          <w:p>
            <w:pPr>
              <w:spacing w:line="0" w:lineRule="atLeas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w:t>
            </w:r>
          </w:p>
          <w:p>
            <w:pPr>
              <w:spacing w:line="0" w:lineRule="atLeas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见</w:t>
            </w:r>
          </w:p>
        </w:tc>
        <w:tc>
          <w:tcPr>
            <w:tcW w:w="916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仿宋_GB2312" w:eastAsia="仿宋_GB2312" w:cs="仿宋_GB2312"/>
                <w:color w:val="auto"/>
                <w:sz w:val="24"/>
                <w:szCs w:val="24"/>
              </w:rPr>
            </w:pPr>
          </w:p>
        </w:tc>
      </w:tr>
    </w:tbl>
    <w:p>
      <w:pPr>
        <w:pStyle w:val="15"/>
        <w:jc w:val="left"/>
        <w:rPr>
          <w:rFonts w:ascii="仿宋_GB2312" w:hAnsi="仿宋_GB2312" w:eastAsia="仿宋_GB2312" w:cs="仿宋_GB2312"/>
          <w:sz w:val="32"/>
          <w:szCs w:val="32"/>
        </w:rPr>
      </w:pPr>
      <w:r>
        <w:rPr>
          <w:rFonts w:hint="eastAsia" w:ascii="仿宋_GB2312" w:hAnsi="仿宋_GB2312" w:eastAsia="仿宋_GB2312" w:cs="仿宋_GB2312"/>
          <w:b/>
          <w:sz w:val="28"/>
          <w:szCs w:val="28"/>
        </w:rPr>
        <w:t>评审人</w:t>
      </w:r>
      <w:r>
        <w:rPr>
          <w:rFonts w:hint="eastAsia" w:ascii="仿宋_GB2312" w:hAnsi="仿宋_GB2312" w:eastAsia="仿宋_GB2312" w:cs="仿宋_GB2312"/>
          <w:b/>
          <w:sz w:val="28"/>
          <w:szCs w:val="28"/>
          <w:lang w:eastAsia="zh-CN"/>
        </w:rPr>
        <w:t xml:space="preserve">：                职称或职务：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lang w:eastAsia="zh-CN"/>
        </w:rPr>
        <w:t xml:space="preserve">      年   月  日</w:t>
      </w: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p>
    <w:p>
      <w:pPr>
        <w:tabs>
          <w:tab w:val="left" w:pos="7797"/>
          <w:tab w:val="left" w:pos="8080"/>
          <w:tab w:val="left" w:pos="8505"/>
          <w:tab w:val="left" w:pos="8647"/>
        </w:tabs>
        <w:spacing w:line="560" w:lineRule="exact"/>
        <w:ind w:right="339" w:firstLine="280" w:firstLineChars="1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pict>
          <v:line id="_x0000_s1029" o:spid="_x0000_s1029" o:spt="20" style="position:absolute;left:0pt;margin-left:0.75pt;margin-top:1.95pt;height:0pt;width:441pt;z-index:251662336;mso-width-relative:page;mso-height-relative:page;" coordsize="21600,21600" o:gfxdata="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m0H6DSAAAABQEAAA8AAAAAAAAAAQAgAAAAIgAAAGRycy9kb3ducmV2Lnht&#10;bFBLAQIUABQAAAAIAIdO4kAfQpojxgEAAF0DAAAOAAAAAAAAAAEAIAAAACEBAABkcnMvZTJvRG9j&#10;LnhtbFBLBQYAAAAABgAGAFkBAABZBQAAAAA=&#10;">
            <v:path arrowok="t"/>
            <v:fill focussize="0,0"/>
            <v:stroke weight="1pt"/>
            <v:imagedata o:title=""/>
            <o:lock v:ext="edit"/>
          </v:line>
        </w:pict>
      </w:r>
      <w:r>
        <w:rPr>
          <w:rFonts w:hint="eastAsia" w:ascii="仿宋_GB2312" w:hAnsi="仿宋_GB2312" w:eastAsia="仿宋_GB2312" w:cs="仿宋_GB2312"/>
          <w:color w:val="000000" w:themeColor="text1"/>
          <w:sz w:val="28"/>
          <w:szCs w:val="28"/>
        </w:rPr>
        <w:t>抄送：校领导</w:t>
      </w:r>
    </w:p>
    <w:p>
      <w:pPr>
        <w:spacing w:line="560" w:lineRule="exact"/>
        <w:ind w:left="210" w:leftChars="100" w:right="225" w:rightChars="107"/>
        <w:rPr>
          <w:rFonts w:ascii="方正小标宋简体" w:eastAsia="方正小标宋简体"/>
          <w:sz w:val="36"/>
          <w:szCs w:val="36"/>
          <w:lang w:eastAsia="zh-CN"/>
        </w:rPr>
        <w:sectPr>
          <w:headerReference r:id="rId3" w:type="firs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仿宋_GB2312" w:hAnsi="仿宋_GB2312" w:eastAsia="仿宋_GB2312" w:cs="仿宋_GB2312"/>
          <w:color w:val="000000" w:themeColor="text1"/>
          <w:sz w:val="28"/>
          <w:szCs w:val="28"/>
        </w:rPr>
        <w:pict>
          <v:line id="_x0000_s1030" o:spid="_x0000_s1030" o:spt="20" style="position:absolute;left:0pt;margin-left:0pt;margin-top:2.7pt;height:0pt;width:441pt;z-index:251660288;mso-width-relative:page;mso-height-relative:page;" coordsize="21600,21600" o:gfxdata="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228XK1AAAAAQBAAAPAAAAAAAAAAEAIAAAACIAAABkcnMvZG93bnJl&#10;di54bWxQSwECFAAUAAAACACHTuJAoI55M8gBAABcAwAADgAAAAAAAAABACAAAAAjAQAAZHJzL2Uy&#10;b0RvYy54bWxQSwUGAAAAAAYABgBZAQAAXQUAAAAA&#10;">
            <v:path arrowok="t"/>
            <v:fill focussize="0,0"/>
            <v:stroke weight="0.7pt"/>
            <v:imagedata o:title=""/>
            <o:lock v:ext="edit"/>
          </v:line>
        </w:pict>
      </w:r>
      <w:r>
        <w:rPr>
          <w:rFonts w:hint="eastAsia" w:ascii="仿宋_GB2312" w:hAnsi="仿宋_GB2312" w:eastAsia="仿宋_GB2312" w:cs="仿宋_GB2312"/>
          <w:color w:val="000000" w:themeColor="text1"/>
          <w:sz w:val="28"/>
          <w:szCs w:val="28"/>
        </w:rPr>
        <w:pict>
          <v:line id="_x0000_s1031" o:spid="_x0000_s1031" o:spt="20" style="position:absolute;left:0pt;margin-left:0pt;margin-top:29.45pt;height:0pt;width:441pt;z-index:251661312;mso-width-relative:page;mso-height-relative:page;" coordsize="21600,21600" o:gfxdata="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QfYJ1AAAAAYBAAAPAAAAAAAAAAEAIAAAACIAAABkcnMvZG93bnJldi54&#10;bWxQSwECFAAUAAAACACHTuJAlHvFe8UBAABdAwAADgAAAAAAAAABACAAAAAjAQAAZHJzL2Uyb0Rv&#10;Yy54bWxQSwUGAAAAAAYABgBZAQAAWgUAAAAA&#10;">
            <v:path arrowok="t"/>
            <v:fill focussize="0,0"/>
            <v:stroke weight="1pt"/>
            <v:imagedata o:title=""/>
            <o:lock v:ext="edit"/>
          </v:line>
        </w:pict>
      </w:r>
      <w:r>
        <w:rPr>
          <w:rFonts w:hint="eastAsia" w:ascii="仿宋_GB2312" w:hAnsi="仿宋_GB2312" w:eastAsia="仿宋_GB2312" w:cs="仿宋_GB2312"/>
          <w:color w:val="000000" w:themeColor="text1"/>
          <w:sz w:val="28"/>
          <w:szCs w:val="28"/>
        </w:rPr>
        <w:t>福州工商学院教务处                       2020年6月17日印发</w:t>
      </w:r>
    </w:p>
    <w:p>
      <w:pPr>
        <w:pStyle w:val="15"/>
        <w:jc w:val="left"/>
        <w:rPr>
          <w:rFonts w:hint="eastAsia" w:ascii="仿宋_GB2312" w:hAnsi="仿宋_GB2312" w:eastAsia="仿宋_GB2312" w:cs="仿宋_GB2312"/>
          <w:b/>
          <w:sz w:val="28"/>
          <w:szCs w:val="28"/>
          <w:lang w:eastAsia="zh-CN"/>
        </w:rPr>
      </w:pPr>
    </w:p>
    <w:sectPr>
      <w:headerReference r:id="rId5" w:type="first"/>
      <w:footerReference r:id="rId6" w:type="default"/>
      <w:pgSz w:w="11906" w:h="16838"/>
      <w:pgMar w:top="1474" w:right="1474" w:bottom="1474" w:left="1588" w:header="851" w:footer="992" w:gutter="0"/>
      <w:pgBorders>
        <w:top w:val="none" w:sz="0" w:space="0"/>
        <w:left w:val="none" w:sz="0" w:space="0"/>
        <w:bottom w:val="none" w:sz="0" w:space="0"/>
        <w:right w:val="none" w:sz="0" w:space="0"/>
      </w:pgBorders>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24.75pt;height:144pt;width:144pt;mso-position-horizontal:outside;mso-position-horizontal-relative:margin;mso-wrap-style:none;z-index:251659264;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YiCa1gAAAAgBAAAPAAAAAAAA&#10;AAEAIAAAACIAAABkcnMvZG93bnJldi54bWxQSwECFAAUAAAACACHTuJAwN7nihQCAAATBAAADgAA&#10;AAAAAAABACAAAAAlAQAAZHJzL2Uyb0RvYy54bWxQSwUGAAAAAAYABgBZAQAAqwU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24.75pt;height:144pt;width:144pt;mso-position-horizontal:outside;mso-position-horizontal-relative:margin;mso-wrap-style:none;z-index:251659264;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YiCa1gAAAAgBAAAPAAAAAAAA&#10;AAEAIAAAACIAAABkcnMvZG93bnJldi54bWxQSwECFAAUAAAACACHTuJAwN7nihQCAAATBAAADgAA&#10;AAAAAAABACAAAAAlAQAAZHJzL2Uyb0RvYy54bWxQSwUGAAAAAAYABgBZAQAAqwU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ZhNzQ0OThkZWJhMGZkMzE4NWMwOGRkYzI1ZTFiYzMifQ=="/>
  </w:docVars>
  <w:rsids>
    <w:rsidRoot w:val="00AB3E97"/>
    <w:rsid w:val="00073674"/>
    <w:rsid w:val="000960A3"/>
    <w:rsid w:val="000A1600"/>
    <w:rsid w:val="000C7FF9"/>
    <w:rsid w:val="000F4F85"/>
    <w:rsid w:val="00120961"/>
    <w:rsid w:val="00147260"/>
    <w:rsid w:val="00181E4B"/>
    <w:rsid w:val="001B414E"/>
    <w:rsid w:val="001C271F"/>
    <w:rsid w:val="001E4454"/>
    <w:rsid w:val="00205507"/>
    <w:rsid w:val="00207CDF"/>
    <w:rsid w:val="00236084"/>
    <w:rsid w:val="002E7262"/>
    <w:rsid w:val="00333F18"/>
    <w:rsid w:val="003D4EB4"/>
    <w:rsid w:val="0040707F"/>
    <w:rsid w:val="00466BFE"/>
    <w:rsid w:val="00497B60"/>
    <w:rsid w:val="004B1339"/>
    <w:rsid w:val="005235D1"/>
    <w:rsid w:val="00562D4A"/>
    <w:rsid w:val="005E4E54"/>
    <w:rsid w:val="0062420C"/>
    <w:rsid w:val="00625E3F"/>
    <w:rsid w:val="00644421"/>
    <w:rsid w:val="0065200F"/>
    <w:rsid w:val="006625D5"/>
    <w:rsid w:val="0066535E"/>
    <w:rsid w:val="006D0AB6"/>
    <w:rsid w:val="00702C35"/>
    <w:rsid w:val="007166F0"/>
    <w:rsid w:val="00790783"/>
    <w:rsid w:val="00796508"/>
    <w:rsid w:val="007C568E"/>
    <w:rsid w:val="007E561F"/>
    <w:rsid w:val="00830CBF"/>
    <w:rsid w:val="00883A08"/>
    <w:rsid w:val="008919CC"/>
    <w:rsid w:val="008D4B69"/>
    <w:rsid w:val="00920476"/>
    <w:rsid w:val="00920EC3"/>
    <w:rsid w:val="009830F2"/>
    <w:rsid w:val="009C1542"/>
    <w:rsid w:val="00A105DD"/>
    <w:rsid w:val="00AB3E97"/>
    <w:rsid w:val="00AE29E6"/>
    <w:rsid w:val="00B23DA2"/>
    <w:rsid w:val="00B42F94"/>
    <w:rsid w:val="00B51F23"/>
    <w:rsid w:val="00B61B34"/>
    <w:rsid w:val="00BA5F7D"/>
    <w:rsid w:val="00C40E3F"/>
    <w:rsid w:val="00C447F7"/>
    <w:rsid w:val="00CB410E"/>
    <w:rsid w:val="00D3267A"/>
    <w:rsid w:val="00D56C23"/>
    <w:rsid w:val="00D948E7"/>
    <w:rsid w:val="00DB0654"/>
    <w:rsid w:val="00E20A3B"/>
    <w:rsid w:val="00E40908"/>
    <w:rsid w:val="00E41502"/>
    <w:rsid w:val="00E70F66"/>
    <w:rsid w:val="00EB30AB"/>
    <w:rsid w:val="00EB6248"/>
    <w:rsid w:val="00F00C8C"/>
    <w:rsid w:val="00F94C7D"/>
    <w:rsid w:val="00FB5A26"/>
    <w:rsid w:val="00FD508B"/>
    <w:rsid w:val="00FD64A0"/>
    <w:rsid w:val="0BAB2DDE"/>
    <w:rsid w:val="10B46A5A"/>
    <w:rsid w:val="12ED0591"/>
    <w:rsid w:val="15D4602A"/>
    <w:rsid w:val="1ED01520"/>
    <w:rsid w:val="23D44245"/>
    <w:rsid w:val="251A22AF"/>
    <w:rsid w:val="2CC342B9"/>
    <w:rsid w:val="2CE564E9"/>
    <w:rsid w:val="369E781D"/>
    <w:rsid w:val="3DCD438F"/>
    <w:rsid w:val="4579198C"/>
    <w:rsid w:val="470B3EEC"/>
    <w:rsid w:val="48A35592"/>
    <w:rsid w:val="499A7547"/>
    <w:rsid w:val="4B9F509C"/>
    <w:rsid w:val="5002624A"/>
    <w:rsid w:val="5C3F4BF6"/>
    <w:rsid w:val="62A6644A"/>
    <w:rsid w:val="63D34078"/>
    <w:rsid w:val="65AF539B"/>
    <w:rsid w:val="65BD07B9"/>
    <w:rsid w:val="6CDA2660"/>
    <w:rsid w:val="6F607321"/>
    <w:rsid w:val="745A319D"/>
    <w:rsid w:val="78C64A9B"/>
    <w:rsid w:val="792D6B42"/>
    <w:rsid w:val="79A87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Body text|1_"/>
    <w:basedOn w:val="6"/>
    <w:link w:val="11"/>
    <w:qFormat/>
    <w:uiPriority w:val="0"/>
    <w:rPr>
      <w:rFonts w:ascii="宋体" w:hAnsi="宋体" w:cs="宋体"/>
      <w:sz w:val="40"/>
      <w:szCs w:val="40"/>
      <w:lang w:val="zh-TW" w:eastAsia="zh-TW" w:bidi="zh-TW"/>
    </w:rPr>
  </w:style>
  <w:style w:type="paragraph" w:customStyle="1" w:styleId="11">
    <w:name w:val="Body text|1"/>
    <w:basedOn w:val="1"/>
    <w:link w:val="10"/>
    <w:qFormat/>
    <w:uiPriority w:val="0"/>
    <w:pPr>
      <w:spacing w:after="340"/>
      <w:jc w:val="center"/>
    </w:pPr>
    <w:rPr>
      <w:rFonts w:ascii="宋体" w:hAnsi="宋体" w:eastAsia="宋体" w:cs="宋体"/>
      <w:kern w:val="0"/>
      <w:sz w:val="40"/>
      <w:szCs w:val="40"/>
      <w:lang w:val="zh-TW" w:eastAsia="zh-TW" w:bidi="zh-TW"/>
    </w:rPr>
  </w:style>
  <w:style w:type="character" w:customStyle="1" w:styleId="12">
    <w:name w:val="Other|1_"/>
    <w:basedOn w:val="6"/>
    <w:link w:val="13"/>
    <w:qFormat/>
    <w:uiPriority w:val="0"/>
    <w:rPr>
      <w:rFonts w:ascii="宋体" w:hAnsi="宋体" w:cs="宋体"/>
      <w:sz w:val="34"/>
      <w:szCs w:val="34"/>
      <w:lang w:val="zh-TW" w:eastAsia="zh-TW" w:bidi="zh-TW"/>
    </w:rPr>
  </w:style>
  <w:style w:type="paragraph" w:customStyle="1" w:styleId="13">
    <w:name w:val="Other|1"/>
    <w:basedOn w:val="1"/>
    <w:link w:val="12"/>
    <w:qFormat/>
    <w:uiPriority w:val="0"/>
    <w:pPr>
      <w:ind w:left="360"/>
      <w:jc w:val="left"/>
    </w:pPr>
    <w:rPr>
      <w:rFonts w:ascii="宋体" w:hAnsi="宋体" w:eastAsia="宋体" w:cs="宋体"/>
      <w:kern w:val="0"/>
      <w:sz w:val="34"/>
      <w:szCs w:val="34"/>
      <w:lang w:val="zh-TW" w:eastAsia="zh-TW" w:bidi="zh-TW"/>
    </w:rPr>
  </w:style>
  <w:style w:type="character" w:customStyle="1" w:styleId="14">
    <w:name w:val="Body text|2_"/>
    <w:basedOn w:val="6"/>
    <w:link w:val="15"/>
    <w:qFormat/>
    <w:uiPriority w:val="0"/>
    <w:rPr>
      <w:rFonts w:ascii="宋体" w:hAnsi="宋体" w:cs="宋体"/>
      <w:sz w:val="34"/>
      <w:szCs w:val="34"/>
      <w:lang w:val="zh-TW" w:eastAsia="zh-TW" w:bidi="zh-TW"/>
    </w:rPr>
  </w:style>
  <w:style w:type="paragraph" w:customStyle="1" w:styleId="15">
    <w:name w:val="Body text|2"/>
    <w:basedOn w:val="1"/>
    <w:link w:val="14"/>
    <w:qFormat/>
    <w:uiPriority w:val="0"/>
    <w:pPr>
      <w:jc w:val="center"/>
    </w:pPr>
    <w:rPr>
      <w:rFonts w:ascii="宋体" w:hAnsi="宋体" w:eastAsia="宋体" w:cs="宋体"/>
      <w:kern w:val="0"/>
      <w:sz w:val="34"/>
      <w:szCs w:val="34"/>
      <w:lang w:val="zh-TW" w:eastAsia="zh-TW" w:bidi="zh-TW"/>
    </w:rPr>
  </w:style>
  <w:style w:type="character" w:customStyle="1" w:styleId="16">
    <w:name w:val="日期 Char"/>
    <w:basedOn w:val="6"/>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2965</Words>
  <Characters>3015</Characters>
  <Lines>22</Lines>
  <Paragraphs>6</Paragraphs>
  <TotalTime>6</TotalTime>
  <ScaleCrop>false</ScaleCrop>
  <LinksUpToDate>false</LinksUpToDate>
  <CharactersWithSpaces>3150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2020-03-13T07:13:00Z</dcterms:created>
  <dc:creator>154804808@qq.com</dc:creator>
  <cp:lastModifiedBy>墨琦胡闹闹</cp:lastModifiedBy>
  <cp:lastPrinted>2020-06-17T06:52:00Z</cp:lastPrinted>
  <dcterms:modified xsi:type="dcterms:W3CDTF">2022-08-05T02:58:19Z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98EAEBC4589A4DEDA9853F49B596C316</vt:lpwstr>
  </property>
</Properties>
</file>